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6D7" w:rsidRDefault="008E46D7" w:rsidP="008E46D7">
      <w:pPr>
        <w:spacing w:line="360" w:lineRule="auto"/>
        <w:jc w:val="center"/>
        <w:rPr>
          <w:rFonts w:ascii="Arial" w:hAnsi="Arial" w:cs="Arial"/>
          <w:b/>
          <w:bCs/>
        </w:rPr>
      </w:pPr>
      <w:bookmarkStart w:id="0" w:name="_Hlk500756939"/>
      <w:r>
        <w:rPr>
          <w:rFonts w:ascii="Arial" w:hAnsi="Arial" w:cs="Arial"/>
          <w:b/>
          <w:bCs/>
        </w:rPr>
        <w:t>Skúšobné otázky z predmetu „Dejiny štátu a práva na Slovensku I.“ pre EXTERNÉ ŠTÚDIUM na zimný semester akademického roku 2017/2018</w:t>
      </w:r>
    </w:p>
    <w:p w:rsidR="008E46D7" w:rsidRDefault="008E46D7" w:rsidP="008E46D7">
      <w:pPr>
        <w:spacing w:line="360" w:lineRule="auto"/>
        <w:jc w:val="center"/>
        <w:rPr>
          <w:rFonts w:ascii="Arial" w:hAnsi="Arial" w:cs="Arial"/>
          <w:b/>
          <w:bCs/>
        </w:rPr>
      </w:pPr>
    </w:p>
    <w:p w:rsidR="008E46D7" w:rsidRPr="009E7A8A" w:rsidRDefault="008E46D7" w:rsidP="008E46D7">
      <w:pPr>
        <w:pStyle w:val="Odsekzoznamu1"/>
        <w:numPr>
          <w:ilvl w:val="0"/>
          <w:numId w:val="2"/>
        </w:numPr>
        <w:spacing w:line="360" w:lineRule="auto"/>
        <w:rPr>
          <w:rFonts w:ascii="Arial" w:hAnsi="Arial" w:cs="Arial"/>
          <w:bCs/>
        </w:rPr>
      </w:pPr>
      <w:r w:rsidRPr="009E7A8A">
        <w:rPr>
          <w:rFonts w:ascii="Arial" w:hAnsi="Arial" w:cs="Arial"/>
          <w:bCs/>
        </w:rPr>
        <w:t>Spoločenská organizácia Samovej ríše, Pribinovho kniežatstva</w:t>
      </w:r>
    </w:p>
    <w:p w:rsidR="008E46D7" w:rsidRDefault="008E46D7" w:rsidP="008E46D7">
      <w:pPr>
        <w:numPr>
          <w:ilvl w:val="0"/>
          <w:numId w:val="2"/>
        </w:numPr>
        <w:spacing w:line="360" w:lineRule="auto"/>
        <w:rPr>
          <w:rFonts w:ascii="Arial" w:hAnsi="Arial" w:cs="Arial"/>
        </w:rPr>
      </w:pPr>
      <w:r>
        <w:rPr>
          <w:rFonts w:ascii="Arial" w:hAnsi="Arial" w:cs="Arial"/>
        </w:rPr>
        <w:t>Štátna organizácia na Veľkej Morave</w:t>
      </w:r>
    </w:p>
    <w:p w:rsidR="008E46D7" w:rsidRDefault="008E46D7" w:rsidP="008E46D7">
      <w:pPr>
        <w:numPr>
          <w:ilvl w:val="0"/>
          <w:numId w:val="2"/>
        </w:numPr>
        <w:spacing w:line="360" w:lineRule="auto"/>
        <w:rPr>
          <w:rFonts w:ascii="Arial" w:hAnsi="Arial" w:cs="Arial"/>
        </w:rPr>
      </w:pPr>
      <w:r>
        <w:rPr>
          <w:rFonts w:ascii="Arial" w:hAnsi="Arial" w:cs="Arial"/>
        </w:rPr>
        <w:t>Miestna správa a súdnictvo na Veľkej Morave</w:t>
      </w:r>
    </w:p>
    <w:p w:rsidR="008E46D7" w:rsidRDefault="008E46D7" w:rsidP="008E46D7">
      <w:pPr>
        <w:numPr>
          <w:ilvl w:val="0"/>
          <w:numId w:val="2"/>
        </w:numPr>
        <w:spacing w:line="360" w:lineRule="auto"/>
        <w:rPr>
          <w:rFonts w:ascii="Arial" w:hAnsi="Arial" w:cs="Arial"/>
        </w:rPr>
      </w:pPr>
      <w:r>
        <w:rPr>
          <w:rFonts w:ascii="Arial" w:hAnsi="Arial" w:cs="Arial"/>
        </w:rPr>
        <w:t>Charakter práva a právne pamiatky na Veľkej Morave</w:t>
      </w:r>
    </w:p>
    <w:p w:rsidR="008E46D7" w:rsidRDefault="008E46D7" w:rsidP="008E46D7">
      <w:pPr>
        <w:numPr>
          <w:ilvl w:val="0"/>
          <w:numId w:val="2"/>
        </w:numPr>
        <w:spacing w:line="360" w:lineRule="auto"/>
        <w:rPr>
          <w:rFonts w:ascii="Arial" w:hAnsi="Arial" w:cs="Arial"/>
        </w:rPr>
      </w:pPr>
      <w:r>
        <w:rPr>
          <w:rFonts w:ascii="Arial" w:hAnsi="Arial" w:cs="Arial"/>
        </w:rPr>
        <w:t>Orgány štátnej správy v ranofeudálnom uhorskom štáte</w:t>
      </w:r>
    </w:p>
    <w:p w:rsidR="008E46D7" w:rsidRDefault="008E46D7" w:rsidP="008E46D7">
      <w:pPr>
        <w:numPr>
          <w:ilvl w:val="0"/>
          <w:numId w:val="2"/>
        </w:numPr>
        <w:spacing w:line="360" w:lineRule="auto"/>
        <w:rPr>
          <w:rFonts w:ascii="Arial" w:hAnsi="Arial" w:cs="Arial"/>
        </w:rPr>
      </w:pPr>
      <w:r>
        <w:rPr>
          <w:rFonts w:ascii="Arial" w:hAnsi="Arial" w:cs="Arial"/>
        </w:rPr>
        <w:t>Miestna správa v ranofeudálnom uhorskom štáte</w:t>
      </w:r>
    </w:p>
    <w:p w:rsidR="008E46D7" w:rsidRPr="009E7A8A" w:rsidRDefault="008E46D7" w:rsidP="008E46D7">
      <w:pPr>
        <w:numPr>
          <w:ilvl w:val="0"/>
          <w:numId w:val="2"/>
        </w:numPr>
        <w:spacing w:line="360" w:lineRule="auto"/>
        <w:rPr>
          <w:rFonts w:ascii="Arial" w:hAnsi="Arial" w:cs="Arial"/>
        </w:rPr>
      </w:pPr>
      <w:r w:rsidRPr="009E7A8A">
        <w:rPr>
          <w:rFonts w:ascii="Arial" w:hAnsi="Arial" w:cs="Arial"/>
        </w:rPr>
        <w:t>Súdna organizácia a cirkevná správa v ranofeudálnom uhorskom štáte</w:t>
      </w:r>
    </w:p>
    <w:p w:rsidR="008E46D7" w:rsidRDefault="008E46D7" w:rsidP="008E46D7">
      <w:pPr>
        <w:numPr>
          <w:ilvl w:val="0"/>
          <w:numId w:val="2"/>
        </w:numPr>
        <w:spacing w:line="360" w:lineRule="auto"/>
        <w:rPr>
          <w:rFonts w:ascii="Arial" w:hAnsi="Arial" w:cs="Arial"/>
        </w:rPr>
      </w:pPr>
      <w:r>
        <w:rPr>
          <w:rFonts w:ascii="Arial" w:hAnsi="Arial" w:cs="Arial"/>
        </w:rPr>
        <w:t xml:space="preserve"> Právo a právne pamiatky v ranofeudálnom uhorskom štáte</w:t>
      </w:r>
    </w:p>
    <w:p w:rsidR="008E46D7" w:rsidRDefault="008E46D7" w:rsidP="008E46D7">
      <w:pPr>
        <w:numPr>
          <w:ilvl w:val="0"/>
          <w:numId w:val="2"/>
        </w:numPr>
        <w:spacing w:line="360" w:lineRule="auto"/>
        <w:rPr>
          <w:rFonts w:ascii="Arial" w:hAnsi="Arial" w:cs="Arial"/>
        </w:rPr>
      </w:pPr>
      <w:r>
        <w:rPr>
          <w:rFonts w:ascii="Arial" w:hAnsi="Arial" w:cs="Arial"/>
        </w:rPr>
        <w:t xml:space="preserve"> Orgány štátnej správy v Uhorsku v období feudálnej rozdrobenosti</w:t>
      </w:r>
    </w:p>
    <w:p w:rsidR="008E46D7" w:rsidRDefault="008E46D7" w:rsidP="008E46D7">
      <w:pPr>
        <w:numPr>
          <w:ilvl w:val="0"/>
          <w:numId w:val="2"/>
        </w:numPr>
        <w:spacing w:line="360" w:lineRule="auto"/>
        <w:rPr>
          <w:rFonts w:ascii="Arial" w:hAnsi="Arial" w:cs="Arial"/>
        </w:rPr>
      </w:pPr>
      <w:r>
        <w:rPr>
          <w:rFonts w:ascii="Arial" w:hAnsi="Arial" w:cs="Arial"/>
        </w:rPr>
        <w:t>Miestna správa a súdna organizácia v období feudálnej rozdrobenosti</w:t>
      </w:r>
    </w:p>
    <w:p w:rsidR="008E46D7" w:rsidRDefault="008E46D7" w:rsidP="008E46D7">
      <w:pPr>
        <w:numPr>
          <w:ilvl w:val="0"/>
          <w:numId w:val="2"/>
        </w:numPr>
        <w:spacing w:line="360" w:lineRule="auto"/>
        <w:rPr>
          <w:rFonts w:ascii="Arial" w:hAnsi="Arial" w:cs="Arial"/>
        </w:rPr>
      </w:pPr>
      <w:r>
        <w:rPr>
          <w:rFonts w:ascii="Arial" w:hAnsi="Arial" w:cs="Arial"/>
        </w:rPr>
        <w:t xml:space="preserve">Vývoj Zlatej buly Ondreja II. v období feudálnej rozdrobenosti </w:t>
      </w:r>
    </w:p>
    <w:p w:rsidR="008E46D7" w:rsidRDefault="008E46D7" w:rsidP="008E46D7">
      <w:pPr>
        <w:numPr>
          <w:ilvl w:val="0"/>
          <w:numId w:val="2"/>
        </w:numPr>
        <w:spacing w:line="360" w:lineRule="auto"/>
        <w:rPr>
          <w:rFonts w:ascii="Arial" w:hAnsi="Arial" w:cs="Arial"/>
        </w:rPr>
      </w:pPr>
      <w:r>
        <w:rPr>
          <w:rFonts w:ascii="Arial" w:hAnsi="Arial" w:cs="Arial"/>
        </w:rPr>
        <w:t xml:space="preserve"> Charakter práva  v Uhorsku v období feudálnej rozdrobenosti</w:t>
      </w:r>
    </w:p>
    <w:p w:rsidR="008E46D7" w:rsidRDefault="008E46D7" w:rsidP="008E46D7">
      <w:pPr>
        <w:numPr>
          <w:ilvl w:val="0"/>
          <w:numId w:val="2"/>
        </w:numPr>
        <w:spacing w:line="360" w:lineRule="auto"/>
        <w:rPr>
          <w:rFonts w:ascii="Arial" w:hAnsi="Arial" w:cs="Arial"/>
        </w:rPr>
      </w:pPr>
      <w:r>
        <w:rPr>
          <w:rFonts w:ascii="Arial" w:hAnsi="Arial" w:cs="Arial"/>
        </w:rPr>
        <w:t>Orgány štátnej správy v Uhorsku v období stavovskej monarchie</w:t>
      </w:r>
    </w:p>
    <w:p w:rsidR="008E46D7" w:rsidRDefault="008E46D7" w:rsidP="008E46D7">
      <w:pPr>
        <w:numPr>
          <w:ilvl w:val="0"/>
          <w:numId w:val="2"/>
        </w:numPr>
        <w:spacing w:line="360" w:lineRule="auto"/>
        <w:rPr>
          <w:rFonts w:ascii="Arial" w:hAnsi="Arial" w:cs="Arial"/>
        </w:rPr>
      </w:pPr>
      <w:r>
        <w:rPr>
          <w:rFonts w:ascii="Arial" w:hAnsi="Arial" w:cs="Arial"/>
        </w:rPr>
        <w:t xml:space="preserve"> Miestna správa v Uhorsku v období stavovskej monarchie</w:t>
      </w:r>
    </w:p>
    <w:p w:rsidR="008E46D7" w:rsidRPr="009E7A8A" w:rsidRDefault="008E46D7" w:rsidP="008E46D7">
      <w:pPr>
        <w:numPr>
          <w:ilvl w:val="0"/>
          <w:numId w:val="2"/>
        </w:numPr>
        <w:spacing w:line="360" w:lineRule="auto"/>
        <w:rPr>
          <w:rFonts w:ascii="Arial" w:hAnsi="Arial" w:cs="Arial"/>
        </w:rPr>
      </w:pPr>
      <w:r w:rsidRPr="009E7A8A">
        <w:rPr>
          <w:rFonts w:ascii="Arial" w:hAnsi="Arial" w:cs="Arial"/>
        </w:rPr>
        <w:t>Organizácia súdov v období stavovskej monarchie</w:t>
      </w:r>
    </w:p>
    <w:p w:rsidR="008E46D7" w:rsidRDefault="008E46D7" w:rsidP="008E46D7">
      <w:pPr>
        <w:numPr>
          <w:ilvl w:val="0"/>
          <w:numId w:val="2"/>
        </w:numPr>
        <w:spacing w:line="360" w:lineRule="auto"/>
        <w:rPr>
          <w:rFonts w:ascii="Arial" w:hAnsi="Arial" w:cs="Arial"/>
          <w:u w:val="single"/>
        </w:rPr>
      </w:pPr>
      <w:r>
        <w:rPr>
          <w:rFonts w:ascii="Arial" w:hAnsi="Arial" w:cs="Arial"/>
        </w:rPr>
        <w:t xml:space="preserve"> Právo a pokusy o jeho kodifikáciu v Uhorsku v období stavovskej monarchie</w:t>
      </w:r>
    </w:p>
    <w:p w:rsidR="008E46D7" w:rsidRDefault="008E46D7" w:rsidP="008E46D7">
      <w:pPr>
        <w:numPr>
          <w:ilvl w:val="0"/>
          <w:numId w:val="2"/>
        </w:numPr>
        <w:spacing w:line="360" w:lineRule="auto"/>
        <w:rPr>
          <w:rFonts w:ascii="Arial" w:hAnsi="Arial" w:cs="Arial"/>
        </w:rPr>
      </w:pPr>
      <w:r>
        <w:rPr>
          <w:rFonts w:ascii="Arial" w:hAnsi="Arial" w:cs="Arial"/>
        </w:rPr>
        <w:t xml:space="preserve"> Tripartitum </w:t>
      </w:r>
    </w:p>
    <w:p w:rsidR="008E46D7" w:rsidRPr="009E7A8A" w:rsidRDefault="008E46D7" w:rsidP="008E46D7">
      <w:pPr>
        <w:numPr>
          <w:ilvl w:val="0"/>
          <w:numId w:val="2"/>
        </w:numPr>
        <w:spacing w:line="360" w:lineRule="auto"/>
        <w:rPr>
          <w:rFonts w:ascii="Arial" w:hAnsi="Arial" w:cs="Arial"/>
        </w:rPr>
      </w:pPr>
      <w:r w:rsidRPr="009E7A8A">
        <w:rPr>
          <w:rFonts w:ascii="Arial" w:hAnsi="Arial" w:cs="Arial"/>
        </w:rPr>
        <w:t>Reformy obdobia osvietenského absolutizmu</w:t>
      </w:r>
    </w:p>
    <w:p w:rsidR="008E46D7" w:rsidRPr="008E46D7" w:rsidRDefault="008E46D7" w:rsidP="008E46D7">
      <w:pPr>
        <w:pStyle w:val="Odsekzoznamu"/>
        <w:numPr>
          <w:ilvl w:val="0"/>
          <w:numId w:val="2"/>
        </w:numPr>
        <w:spacing w:line="360" w:lineRule="auto"/>
        <w:rPr>
          <w:rFonts w:ascii="Arial" w:hAnsi="Arial" w:cs="Arial"/>
        </w:rPr>
      </w:pPr>
      <w:r w:rsidRPr="008E46D7">
        <w:rPr>
          <w:rFonts w:ascii="Arial" w:hAnsi="Arial" w:cs="Arial"/>
        </w:rPr>
        <w:t>Spôsobilosť mať práva a povinnosti</w:t>
      </w:r>
    </w:p>
    <w:p w:rsidR="008E46D7" w:rsidRDefault="008E46D7" w:rsidP="008E46D7">
      <w:pPr>
        <w:numPr>
          <w:ilvl w:val="0"/>
          <w:numId w:val="2"/>
        </w:numPr>
        <w:spacing w:line="360" w:lineRule="auto"/>
        <w:rPr>
          <w:rFonts w:ascii="Arial" w:hAnsi="Arial" w:cs="Arial"/>
        </w:rPr>
      </w:pPr>
      <w:r>
        <w:rPr>
          <w:rFonts w:ascii="Arial" w:hAnsi="Arial" w:cs="Arial"/>
        </w:rPr>
        <w:t>Ľudský vek, štátna príslušnosť, povolanie: ako stav vplývajúci na spôsobilosť na právne  úkony</w:t>
      </w:r>
    </w:p>
    <w:p w:rsidR="008E46D7" w:rsidRPr="008E46D7" w:rsidRDefault="008E46D7" w:rsidP="008E46D7">
      <w:pPr>
        <w:numPr>
          <w:ilvl w:val="0"/>
          <w:numId w:val="2"/>
        </w:numPr>
        <w:spacing w:line="360" w:lineRule="auto"/>
        <w:rPr>
          <w:rFonts w:ascii="Arial" w:hAnsi="Arial" w:cs="Arial"/>
        </w:rPr>
      </w:pPr>
      <w:r w:rsidRPr="008E46D7">
        <w:rPr>
          <w:rFonts w:ascii="Arial" w:hAnsi="Arial" w:cs="Arial"/>
        </w:rPr>
        <w:t>Zdravie, márnotratnosť, pohlavie: ako stav vplývajúci na spôsobilosť na právne  úkony</w:t>
      </w:r>
    </w:p>
    <w:p w:rsidR="008E46D7" w:rsidRDefault="008E46D7" w:rsidP="008E46D7">
      <w:pPr>
        <w:numPr>
          <w:ilvl w:val="0"/>
          <w:numId w:val="2"/>
        </w:numPr>
        <w:spacing w:line="360" w:lineRule="auto"/>
        <w:rPr>
          <w:rFonts w:ascii="Arial" w:hAnsi="Arial" w:cs="Arial"/>
        </w:rPr>
      </w:pPr>
      <w:r>
        <w:rPr>
          <w:rFonts w:ascii="Arial" w:hAnsi="Arial" w:cs="Arial"/>
        </w:rPr>
        <w:t>Donačná sústava -  jej podstata, druhy donácií</w:t>
      </w:r>
    </w:p>
    <w:p w:rsidR="008E46D7" w:rsidRDefault="008E46D7" w:rsidP="008E46D7">
      <w:pPr>
        <w:numPr>
          <w:ilvl w:val="0"/>
          <w:numId w:val="2"/>
        </w:numPr>
        <w:spacing w:line="360" w:lineRule="auto"/>
        <w:rPr>
          <w:rFonts w:ascii="Arial" w:hAnsi="Arial" w:cs="Arial"/>
        </w:rPr>
      </w:pPr>
      <w:r>
        <w:rPr>
          <w:rFonts w:ascii="Arial" w:hAnsi="Arial" w:cs="Arial"/>
        </w:rPr>
        <w:t xml:space="preserve">Donačná sústava - </w:t>
      </w:r>
      <w:proofErr w:type="spellStart"/>
      <w:r>
        <w:rPr>
          <w:rFonts w:ascii="Arial" w:hAnsi="Arial" w:cs="Arial"/>
        </w:rPr>
        <w:t>devolučné</w:t>
      </w:r>
      <w:proofErr w:type="spellEnd"/>
      <w:r>
        <w:rPr>
          <w:rFonts w:ascii="Arial" w:hAnsi="Arial" w:cs="Arial"/>
        </w:rPr>
        <w:t xml:space="preserve"> dôvody, náležitosti odovzdania majetku, účinky donácie</w:t>
      </w:r>
    </w:p>
    <w:bookmarkEnd w:id="0"/>
    <w:p w:rsidR="008E46D7" w:rsidRDefault="008E46D7" w:rsidP="008E46D7">
      <w:pPr>
        <w:spacing w:line="360" w:lineRule="auto"/>
        <w:ind w:firstLine="708"/>
        <w:jc w:val="center"/>
        <w:rPr>
          <w:rFonts w:ascii="Arial" w:hAnsi="Arial" w:cs="Arial"/>
          <w:b/>
          <w:sz w:val="22"/>
          <w:szCs w:val="22"/>
          <w:u w:val="single"/>
        </w:rPr>
      </w:pPr>
    </w:p>
    <w:p w:rsidR="008E46D7" w:rsidRDefault="008E46D7" w:rsidP="008E46D7">
      <w:pPr>
        <w:spacing w:line="360" w:lineRule="auto"/>
        <w:ind w:firstLine="708"/>
        <w:jc w:val="center"/>
        <w:rPr>
          <w:rFonts w:ascii="Arial" w:hAnsi="Arial" w:cs="Arial"/>
          <w:b/>
          <w:sz w:val="22"/>
          <w:szCs w:val="22"/>
          <w:u w:val="single"/>
        </w:rPr>
      </w:pPr>
    </w:p>
    <w:p w:rsidR="008E46D7" w:rsidRDefault="008E46D7" w:rsidP="008E46D7">
      <w:pPr>
        <w:spacing w:line="360" w:lineRule="auto"/>
        <w:ind w:firstLine="708"/>
        <w:jc w:val="center"/>
        <w:rPr>
          <w:rFonts w:ascii="Arial" w:hAnsi="Arial" w:cs="Arial"/>
          <w:b/>
          <w:sz w:val="22"/>
          <w:szCs w:val="22"/>
          <w:u w:val="single"/>
        </w:rPr>
      </w:pPr>
    </w:p>
    <w:p w:rsidR="008E46D7" w:rsidRDefault="008E46D7" w:rsidP="008E46D7">
      <w:pPr>
        <w:spacing w:line="360" w:lineRule="auto"/>
        <w:ind w:firstLine="708"/>
        <w:jc w:val="center"/>
        <w:rPr>
          <w:rFonts w:ascii="Arial" w:hAnsi="Arial" w:cs="Arial"/>
          <w:b/>
          <w:sz w:val="22"/>
          <w:szCs w:val="22"/>
          <w:u w:val="single"/>
        </w:rPr>
      </w:pPr>
    </w:p>
    <w:p w:rsidR="004E2E83" w:rsidRDefault="004E2E83" w:rsidP="008E46D7">
      <w:pPr>
        <w:spacing w:line="360" w:lineRule="auto"/>
        <w:ind w:firstLine="708"/>
        <w:jc w:val="center"/>
        <w:rPr>
          <w:rFonts w:ascii="Arial" w:hAnsi="Arial" w:cs="Arial"/>
          <w:b/>
          <w:sz w:val="22"/>
          <w:szCs w:val="22"/>
          <w:u w:val="single"/>
        </w:rPr>
      </w:pPr>
      <w:bookmarkStart w:id="1" w:name="_GoBack"/>
      <w:bookmarkEnd w:id="1"/>
    </w:p>
    <w:p w:rsidR="008E46D7" w:rsidRPr="00536149" w:rsidRDefault="008E46D7" w:rsidP="008E46D7">
      <w:pPr>
        <w:spacing w:line="360" w:lineRule="auto"/>
        <w:ind w:firstLine="708"/>
        <w:jc w:val="center"/>
        <w:rPr>
          <w:rFonts w:ascii="Arial" w:hAnsi="Arial" w:cs="Arial"/>
          <w:b/>
          <w:sz w:val="22"/>
          <w:szCs w:val="22"/>
          <w:u w:val="single"/>
        </w:rPr>
      </w:pPr>
      <w:r w:rsidRPr="00536149">
        <w:rPr>
          <w:rFonts w:ascii="Arial" w:hAnsi="Arial" w:cs="Arial"/>
          <w:b/>
          <w:sz w:val="22"/>
          <w:szCs w:val="22"/>
          <w:u w:val="single"/>
        </w:rPr>
        <w:lastRenderedPageBreak/>
        <w:t>Stavy (</w:t>
      </w:r>
      <w:proofErr w:type="spellStart"/>
      <w:r w:rsidRPr="00536149">
        <w:rPr>
          <w:rFonts w:ascii="Arial" w:hAnsi="Arial" w:cs="Arial"/>
          <w:b/>
          <w:sz w:val="22"/>
          <w:szCs w:val="22"/>
          <w:u w:val="single"/>
        </w:rPr>
        <w:t>statusové</w:t>
      </w:r>
      <w:proofErr w:type="spellEnd"/>
      <w:r w:rsidRPr="00536149">
        <w:rPr>
          <w:rFonts w:ascii="Arial" w:hAnsi="Arial" w:cs="Arial"/>
          <w:b/>
          <w:sz w:val="22"/>
          <w:szCs w:val="22"/>
          <w:u w:val="single"/>
        </w:rPr>
        <w:t xml:space="preserve"> vlastnosti) vplývajúce na spôsobilosť</w:t>
      </w:r>
    </w:p>
    <w:p w:rsidR="008E46D7" w:rsidRPr="00536149" w:rsidRDefault="008E46D7" w:rsidP="008E46D7">
      <w:pPr>
        <w:spacing w:line="360" w:lineRule="auto"/>
        <w:ind w:firstLine="708"/>
        <w:jc w:val="center"/>
        <w:rPr>
          <w:rFonts w:ascii="Arial" w:hAnsi="Arial" w:cs="Arial"/>
          <w:b/>
          <w:sz w:val="22"/>
          <w:szCs w:val="22"/>
          <w:u w:val="single"/>
        </w:rPr>
      </w:pPr>
    </w:p>
    <w:p w:rsidR="008E46D7" w:rsidRPr="00536149" w:rsidRDefault="008E46D7" w:rsidP="008E46D7">
      <w:pPr>
        <w:spacing w:line="360" w:lineRule="auto"/>
        <w:jc w:val="both"/>
        <w:rPr>
          <w:rFonts w:ascii="Arial" w:hAnsi="Arial" w:cs="Arial"/>
          <w:b/>
          <w:sz w:val="22"/>
          <w:szCs w:val="22"/>
          <w:u w:val="single"/>
        </w:rPr>
      </w:pPr>
      <w:r w:rsidRPr="00536149">
        <w:rPr>
          <w:rFonts w:ascii="Arial" w:hAnsi="Arial" w:cs="Arial"/>
          <w:b/>
          <w:sz w:val="22"/>
          <w:szCs w:val="22"/>
          <w:u w:val="single"/>
        </w:rPr>
        <w:t>Štátna príslušnosť</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Cudzinci pôvodne nemali žiadnu spôsobilosť na práva ani právne konanie. Ich postavenie sa postupne zlepšovalo a to s poznaním, že ich príchod so sebou prináša vyspelú materiálnu aj hospodársku kultúru. Ich význam bol badateľný už napr. sv. Štefanovi, vyzdvihoval ich význam (boli označovaní ako </w:t>
      </w:r>
      <w:proofErr w:type="spellStart"/>
      <w:r w:rsidRPr="00536149">
        <w:rPr>
          <w:rFonts w:ascii="Arial" w:hAnsi="Arial" w:cs="Arial"/>
          <w:sz w:val="22"/>
          <w:szCs w:val="22"/>
        </w:rPr>
        <w:t>hospites</w:t>
      </w:r>
      <w:proofErr w:type="spellEnd"/>
      <w:r w:rsidRPr="00536149">
        <w:rPr>
          <w:rFonts w:ascii="Arial" w:hAnsi="Arial" w:cs="Arial"/>
          <w:sz w:val="22"/>
          <w:szCs w:val="22"/>
        </w:rPr>
        <w:t>).</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Aj neskorší panovníci radi prijímali cudzincov a poskytovali im určitú ochranu, ich postavenie bolo rôzne podľa toho, o príslušníka ktorej spoločenskej triedy išlo:</w:t>
      </w:r>
    </w:p>
    <w:p w:rsidR="008E46D7" w:rsidRPr="00536149" w:rsidRDefault="008E46D7" w:rsidP="008E46D7">
      <w:pPr>
        <w:spacing w:line="360" w:lineRule="auto"/>
        <w:jc w:val="both"/>
        <w:rPr>
          <w:rFonts w:ascii="Arial" w:hAnsi="Arial" w:cs="Arial"/>
          <w:sz w:val="22"/>
          <w:szCs w:val="22"/>
        </w:rPr>
      </w:pP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1. Cudzinci – šľachtici v Uhorsku nepožívali šľachtické výsady patriace domácej šľachte, a to ani v práve verejnom, ani v súkromnom. Mohli však nadobudnúť uhorské šľachtictvo a stať sa tak rovnoprávnymi s domácou šľachtou, a to:</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a) </w:t>
      </w:r>
      <w:proofErr w:type="spellStart"/>
      <w:r w:rsidRPr="00536149">
        <w:rPr>
          <w:rFonts w:ascii="Arial" w:hAnsi="Arial" w:cs="Arial"/>
          <w:sz w:val="22"/>
          <w:szCs w:val="22"/>
        </w:rPr>
        <w:t>originárnym</w:t>
      </w:r>
      <w:proofErr w:type="spellEnd"/>
      <w:r w:rsidRPr="00536149">
        <w:rPr>
          <w:rFonts w:ascii="Arial" w:hAnsi="Arial" w:cs="Arial"/>
          <w:sz w:val="22"/>
          <w:szCs w:val="22"/>
        </w:rPr>
        <w:t xml:space="preserve"> spôsobom nadobudnutia</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v najstaršej dobe udelením kráľovskej donácie, ale už od 13 str. sa domáca šľachta tomuto bránila rôznymi obmedzeniami</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šľachtictvo sa v najstaršej dobe nadobúdalo aj udelením ríšskych funkcií a úradov. Proti tomu sa šľachta tiež bránila. Od roku 1222 (Zlatá bula) to bolo možné už len so súhlasom kráľovskej rady. V neskoršom období všeobecne nespôsobilí nadobúdať úrady a funkcie.</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 za Habsburgovcov po postupnom „vylúčení“ vyššie uvedených spôsobov ostal jediný: </w:t>
      </w:r>
      <w:r w:rsidRPr="00536149">
        <w:rPr>
          <w:rFonts w:ascii="Arial" w:hAnsi="Arial" w:cs="Arial"/>
          <w:sz w:val="22"/>
          <w:szCs w:val="22"/>
          <w:u w:val="single"/>
        </w:rPr>
        <w:t>prijatie cudzinca za uhorského šľachtica</w:t>
      </w:r>
      <w:r w:rsidRPr="00536149">
        <w:rPr>
          <w:rFonts w:ascii="Arial" w:hAnsi="Arial" w:cs="Arial"/>
          <w:sz w:val="22"/>
          <w:szCs w:val="22"/>
        </w:rPr>
        <w:t>. V dávnejšej dobe sa to udialo na základe kráľovského privilégia vydaného so súhlasom stavov – bolo to spojené s rozličnými formalitami, napr.:</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dotyčný musel vyznávať v Uhorsku uznané náboženstvo</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musel mať zásluhy o Korunu, štát, resp. panovníka</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musel zložiť prísahu vernosti</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musel zaplatiť určitú dávku (výška sa menila)</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b) odvodeným spôsobom nadobúdali uhorské šľachtictvo cudzinky, ktoré sa vydali za uhorských šľachticov</w:t>
      </w:r>
    </w:p>
    <w:p w:rsidR="008E46D7" w:rsidRPr="00536149" w:rsidRDefault="008E46D7" w:rsidP="008E46D7">
      <w:pPr>
        <w:spacing w:line="360" w:lineRule="auto"/>
        <w:jc w:val="both"/>
        <w:rPr>
          <w:rFonts w:ascii="Arial" w:hAnsi="Arial" w:cs="Arial"/>
          <w:sz w:val="22"/>
          <w:szCs w:val="22"/>
        </w:rPr>
      </w:pP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2.) Cudzinci – mešťania sa hromadne prisťahovali v rámci kolonizácie a usadzovali sa na určitom mieste na základe privilégia. Častým obsahom privilégia bola možnosť, aby sa vo svojom meste riadili vlastným právom, </w:t>
      </w:r>
      <w:proofErr w:type="spellStart"/>
      <w:r w:rsidRPr="00536149">
        <w:rPr>
          <w:rFonts w:ascii="Arial" w:hAnsi="Arial" w:cs="Arial"/>
          <w:sz w:val="22"/>
          <w:szCs w:val="22"/>
        </w:rPr>
        <w:t>t.j</w:t>
      </w:r>
      <w:proofErr w:type="spellEnd"/>
      <w:r w:rsidRPr="00536149">
        <w:rPr>
          <w:rFonts w:ascii="Arial" w:hAnsi="Arial" w:cs="Arial"/>
          <w:sz w:val="22"/>
          <w:szCs w:val="22"/>
        </w:rPr>
        <w:t>. právom pôvodnej vlasti. Na Slovensku vzniklo rad napr. nemeckých miest, obyvateľstvo ktorých žilo podľa nemeckého práva.</w:t>
      </w:r>
    </w:p>
    <w:p w:rsidR="008E46D7" w:rsidRPr="00536149" w:rsidRDefault="008E46D7" w:rsidP="008E46D7">
      <w:pPr>
        <w:spacing w:line="360" w:lineRule="auto"/>
        <w:jc w:val="both"/>
        <w:rPr>
          <w:rFonts w:ascii="Arial" w:hAnsi="Arial" w:cs="Arial"/>
          <w:sz w:val="22"/>
          <w:szCs w:val="22"/>
        </w:rPr>
      </w:pP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3.) Iní cudzinci, najmä sedliaci sa stávali uhorskými príslušníkmi usadením sa na základe určitého privilégia alebo povolenie zemepána. Po Tripartite sa nešľachtické „postavenie“ nadobúdalo na základe vydržania, ku ktorému sa vyžadoval akt usadenia, riadne plnenie </w:t>
      </w:r>
      <w:r w:rsidRPr="00536149">
        <w:rPr>
          <w:rFonts w:ascii="Arial" w:hAnsi="Arial" w:cs="Arial"/>
          <w:sz w:val="22"/>
          <w:szCs w:val="22"/>
        </w:rPr>
        <w:lastRenderedPageBreak/>
        <w:t>občianskych povinností a neskôr ešte aj uplynutie času, dĺžka ktorého bola partikulárnym obyčajovým právom upravená rôzne.</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V novšom práve sa rozoznávalo trojaké prijatie nešľachtických cudzincov:</w:t>
      </w:r>
    </w:p>
    <w:p w:rsidR="008E46D7" w:rsidRPr="00536149" w:rsidRDefault="008E46D7" w:rsidP="008E46D7">
      <w:pPr>
        <w:numPr>
          <w:ilvl w:val="0"/>
          <w:numId w:val="3"/>
        </w:numPr>
        <w:spacing w:line="360" w:lineRule="auto"/>
        <w:jc w:val="both"/>
        <w:rPr>
          <w:rFonts w:ascii="Arial" w:hAnsi="Arial" w:cs="Arial"/>
          <w:sz w:val="22"/>
          <w:szCs w:val="22"/>
        </w:rPr>
      </w:pPr>
      <w:r w:rsidRPr="00536149">
        <w:rPr>
          <w:rFonts w:ascii="Arial" w:hAnsi="Arial" w:cs="Arial"/>
          <w:sz w:val="22"/>
          <w:szCs w:val="22"/>
        </w:rPr>
        <w:t>výslovné prijatie – vyžadovalo napr. svojprávnosť, beztrestnosť, riadne plnenie daní....</w:t>
      </w:r>
    </w:p>
    <w:p w:rsidR="008E46D7" w:rsidRPr="00536149" w:rsidRDefault="008E46D7" w:rsidP="008E46D7">
      <w:pPr>
        <w:numPr>
          <w:ilvl w:val="0"/>
          <w:numId w:val="3"/>
        </w:numPr>
        <w:spacing w:line="360" w:lineRule="auto"/>
        <w:jc w:val="both"/>
        <w:rPr>
          <w:rFonts w:ascii="Arial" w:hAnsi="Arial" w:cs="Arial"/>
          <w:sz w:val="22"/>
          <w:szCs w:val="22"/>
        </w:rPr>
      </w:pPr>
      <w:r w:rsidRPr="00536149">
        <w:rPr>
          <w:rFonts w:ascii="Arial" w:hAnsi="Arial" w:cs="Arial"/>
          <w:sz w:val="22"/>
          <w:szCs w:val="22"/>
        </w:rPr>
        <w:t>okamžité prijatie – vyžadovalo zloženie sľubu vernosti, prijatie komitátom alebo mestom a schválenie ministerstva</w:t>
      </w:r>
    </w:p>
    <w:p w:rsidR="008E46D7" w:rsidRPr="00536149" w:rsidRDefault="008E46D7" w:rsidP="008E46D7">
      <w:pPr>
        <w:numPr>
          <w:ilvl w:val="0"/>
          <w:numId w:val="3"/>
        </w:numPr>
        <w:spacing w:line="360" w:lineRule="auto"/>
        <w:jc w:val="both"/>
        <w:rPr>
          <w:rFonts w:ascii="Arial" w:hAnsi="Arial" w:cs="Arial"/>
          <w:sz w:val="22"/>
          <w:szCs w:val="22"/>
        </w:rPr>
      </w:pPr>
      <w:r w:rsidRPr="00536149">
        <w:rPr>
          <w:rFonts w:ascii="Arial" w:hAnsi="Arial" w:cs="Arial"/>
          <w:sz w:val="22"/>
          <w:szCs w:val="22"/>
        </w:rPr>
        <w:t>prijatie mlčky – na základe 5 ročného bydliska a riadneho platenia daní</w:t>
      </w:r>
    </w:p>
    <w:p w:rsidR="008E46D7" w:rsidRPr="00536149" w:rsidRDefault="008E46D7" w:rsidP="008E46D7">
      <w:pPr>
        <w:spacing w:line="360" w:lineRule="auto"/>
        <w:jc w:val="both"/>
        <w:rPr>
          <w:rFonts w:ascii="Arial" w:hAnsi="Arial" w:cs="Arial"/>
          <w:sz w:val="22"/>
          <w:szCs w:val="22"/>
        </w:rPr>
      </w:pPr>
    </w:p>
    <w:p w:rsidR="008E46D7" w:rsidRPr="00536149" w:rsidRDefault="008E46D7" w:rsidP="008E46D7">
      <w:pPr>
        <w:spacing w:line="360" w:lineRule="auto"/>
        <w:jc w:val="both"/>
        <w:rPr>
          <w:rFonts w:ascii="Arial" w:hAnsi="Arial" w:cs="Arial"/>
          <w:b/>
          <w:sz w:val="22"/>
          <w:szCs w:val="22"/>
          <w:u w:val="single"/>
        </w:rPr>
      </w:pPr>
      <w:r w:rsidRPr="00536149">
        <w:rPr>
          <w:rFonts w:ascii="Arial" w:hAnsi="Arial" w:cs="Arial"/>
          <w:b/>
          <w:sz w:val="22"/>
          <w:szCs w:val="22"/>
          <w:u w:val="single"/>
        </w:rPr>
        <w:t>Povolanie:</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Povolanie človeka vplývalo na jeho spôsobilosť a status. Dlho si podržalo svoj význam povolanie kňazské, obchodnícke  a úradnícke.</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1.) Katolícke duchovenstvo sa delilo na svetské a rehoľné</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 svetskí kňazi boli vyšší (veľkňazi) a nižší</w:t>
      </w:r>
    </w:p>
    <w:p w:rsidR="008E46D7" w:rsidRPr="00536149" w:rsidRDefault="008E46D7" w:rsidP="008E46D7">
      <w:pPr>
        <w:spacing w:line="360" w:lineRule="auto"/>
        <w:ind w:left="705"/>
        <w:jc w:val="both"/>
        <w:rPr>
          <w:rFonts w:ascii="Arial" w:hAnsi="Arial" w:cs="Arial"/>
          <w:sz w:val="22"/>
          <w:szCs w:val="22"/>
        </w:rPr>
      </w:pPr>
      <w:r w:rsidRPr="00536149">
        <w:rPr>
          <w:rFonts w:ascii="Arial" w:hAnsi="Arial" w:cs="Arial"/>
          <w:sz w:val="22"/>
          <w:szCs w:val="22"/>
        </w:rPr>
        <w:t>- veľkňazi patrili do prelátskeho stavu a mali šľachtické postavenie (magnátov) a aj určité špeciálne práva a povinnosti</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ostatní kňazi mali:</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r>
      <w:r w:rsidRPr="00536149">
        <w:rPr>
          <w:rFonts w:ascii="Arial" w:hAnsi="Arial" w:cs="Arial"/>
          <w:sz w:val="22"/>
          <w:szCs w:val="22"/>
        </w:rPr>
        <w:tab/>
        <w:t>- v zásade slobody zemanov</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r>
      <w:r w:rsidRPr="00536149">
        <w:rPr>
          <w:rFonts w:ascii="Arial" w:hAnsi="Arial" w:cs="Arial"/>
          <w:sz w:val="22"/>
          <w:szCs w:val="22"/>
        </w:rPr>
        <w:tab/>
        <w:t>- pri exekúcii im muselo byť ponechané exekučné minimum</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r>
      <w:r w:rsidRPr="00536149">
        <w:rPr>
          <w:rFonts w:ascii="Arial" w:hAnsi="Arial" w:cs="Arial"/>
          <w:sz w:val="22"/>
          <w:szCs w:val="22"/>
        </w:rPr>
        <w:tab/>
        <w:t>- pri svedeckej prísahe sa odvolávali na svoje svedomie</w:t>
      </w:r>
    </w:p>
    <w:p w:rsidR="008E46D7" w:rsidRPr="00536149" w:rsidRDefault="008E46D7" w:rsidP="008E46D7">
      <w:pPr>
        <w:spacing w:line="360" w:lineRule="auto"/>
        <w:ind w:left="1416"/>
        <w:jc w:val="both"/>
        <w:rPr>
          <w:rFonts w:ascii="Arial" w:hAnsi="Arial" w:cs="Arial"/>
          <w:sz w:val="22"/>
          <w:szCs w:val="22"/>
        </w:rPr>
      </w:pPr>
      <w:r w:rsidRPr="00536149">
        <w:rPr>
          <w:rFonts w:ascii="Arial" w:hAnsi="Arial" w:cs="Arial"/>
          <w:sz w:val="22"/>
          <w:szCs w:val="22"/>
        </w:rPr>
        <w:t>- neboli spôsobilí nadobúdať nehnuteľný majetok (s výnimkou kráľovského povolenia)</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b) </w:t>
      </w:r>
      <w:proofErr w:type="spellStart"/>
      <w:r w:rsidRPr="00536149">
        <w:rPr>
          <w:rFonts w:ascii="Arial" w:hAnsi="Arial" w:cs="Arial"/>
          <w:sz w:val="22"/>
          <w:szCs w:val="22"/>
        </w:rPr>
        <w:t>rehoľníctvo</w:t>
      </w:r>
      <w:proofErr w:type="spellEnd"/>
      <w:r w:rsidRPr="00536149">
        <w:rPr>
          <w:rFonts w:ascii="Arial" w:hAnsi="Arial" w:cs="Arial"/>
          <w:sz w:val="22"/>
          <w:szCs w:val="22"/>
        </w:rPr>
        <w:t xml:space="preserve"> a rehoľné kňazstvo:</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neboli spôsobilí uzatvárať obchody, najmä peňažné</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nemohli bez kráľovského povolenia účinne postúpiť svoj majetok</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ab/>
        <w:t>- mohla sa pre nich zriadiť renta, alimentácia a pod. iba do výšky 200 zlatých</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 - neboli spôsobilí na manželstvo, štátne právo sa prispôsobovalo cirkevnému</w:t>
      </w:r>
    </w:p>
    <w:p w:rsidR="008E46D7" w:rsidRPr="00536149" w:rsidRDefault="008E46D7" w:rsidP="008E46D7">
      <w:pPr>
        <w:spacing w:line="360" w:lineRule="auto"/>
        <w:jc w:val="both"/>
        <w:rPr>
          <w:rFonts w:ascii="Arial" w:hAnsi="Arial" w:cs="Arial"/>
          <w:sz w:val="22"/>
          <w:szCs w:val="22"/>
        </w:rPr>
      </w:pP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 xml:space="preserve">2.) Obchodníci mali osobitnú spôsobilosť na práva a spôsobilosť konať podľa partikulárneho mestského práva, najmä podľa rozličných cechových štatútov. </w:t>
      </w:r>
    </w:p>
    <w:p w:rsidR="008E46D7" w:rsidRPr="00536149" w:rsidRDefault="008E46D7" w:rsidP="008E46D7">
      <w:pPr>
        <w:spacing w:line="360" w:lineRule="auto"/>
        <w:jc w:val="both"/>
        <w:rPr>
          <w:rFonts w:ascii="Arial" w:hAnsi="Arial" w:cs="Arial"/>
          <w:sz w:val="22"/>
          <w:szCs w:val="22"/>
        </w:rPr>
      </w:pPr>
      <w:r w:rsidRPr="00536149">
        <w:rPr>
          <w:rFonts w:ascii="Arial" w:hAnsi="Arial" w:cs="Arial"/>
          <w:sz w:val="22"/>
          <w:szCs w:val="22"/>
        </w:rPr>
        <w:t>Všeobecné obchodné právo bolo vytvorené až zák. čl. 16 až 19/1840</w:t>
      </w:r>
    </w:p>
    <w:p w:rsidR="008E46D7" w:rsidRPr="00536149" w:rsidRDefault="008E46D7" w:rsidP="008E46D7">
      <w:pPr>
        <w:spacing w:line="360" w:lineRule="auto"/>
        <w:jc w:val="both"/>
        <w:rPr>
          <w:rFonts w:ascii="Arial" w:hAnsi="Arial" w:cs="Arial"/>
          <w:sz w:val="22"/>
          <w:szCs w:val="22"/>
        </w:rPr>
      </w:pPr>
    </w:p>
    <w:p w:rsidR="00165113" w:rsidRDefault="008E46D7" w:rsidP="008E46D7">
      <w:pPr>
        <w:spacing w:line="360" w:lineRule="auto"/>
        <w:jc w:val="both"/>
      </w:pPr>
      <w:r w:rsidRPr="00536149">
        <w:rPr>
          <w:rFonts w:ascii="Arial" w:hAnsi="Arial" w:cs="Arial"/>
          <w:sz w:val="22"/>
          <w:szCs w:val="22"/>
        </w:rPr>
        <w:t xml:space="preserve">3.) Novšie právo vytvorilo pojem tzv. </w:t>
      </w:r>
      <w:proofErr w:type="spellStart"/>
      <w:r w:rsidRPr="00536149">
        <w:rPr>
          <w:rFonts w:ascii="Arial" w:hAnsi="Arial" w:cs="Arial"/>
          <w:sz w:val="22"/>
          <w:szCs w:val="22"/>
        </w:rPr>
        <w:t>honoraciorov</w:t>
      </w:r>
      <w:proofErr w:type="spellEnd"/>
      <w:r w:rsidRPr="00536149">
        <w:rPr>
          <w:rFonts w:ascii="Arial" w:hAnsi="Arial" w:cs="Arial"/>
          <w:sz w:val="22"/>
          <w:szCs w:val="22"/>
        </w:rPr>
        <w:t xml:space="preserve"> – osoby, ktoré sa živili vyššou duševnou prácou v slobodnom povolaní alebo v zamestnaneckom pomere. Títo vo veľkej miere podliehali šľachtickému súkromnému právu, jeho predpisom o osobnej slobode, poručníctve, dedičskom práve. Ako prví dostali spôsobilosť nadobudnúť nehnuteľnosti v tom rozsahu ako šľachtici. </w:t>
      </w:r>
    </w:p>
    <w:sectPr w:rsidR="00165113" w:rsidSect="00B00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07D"/>
    <w:multiLevelType w:val="hybridMultilevel"/>
    <w:tmpl w:val="24A2B9DE"/>
    <w:lvl w:ilvl="0" w:tplc="2FAE6CC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6320D45"/>
    <w:multiLevelType w:val="hybridMultilevel"/>
    <w:tmpl w:val="26A287DE"/>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6C6A18"/>
    <w:multiLevelType w:val="hybridMultilevel"/>
    <w:tmpl w:val="45A0923A"/>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D7"/>
    <w:rsid w:val="00165113"/>
    <w:rsid w:val="004E2E83"/>
    <w:rsid w:val="008E46D7"/>
    <w:rsid w:val="00BC6F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217F"/>
  <w15:chartTrackingRefBased/>
  <w15:docId w15:val="{0B324E3E-8B4E-4A51-A257-5AC45E50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E46D7"/>
    <w:pPr>
      <w:spacing w:after="0" w:line="240" w:lineRule="auto"/>
    </w:pPr>
    <w:rPr>
      <w:rFonts w:ascii="Times New Roman" w:eastAsia="Calibri"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rsid w:val="008E46D7"/>
    <w:pPr>
      <w:ind w:left="720"/>
      <w:contextualSpacing/>
    </w:pPr>
  </w:style>
  <w:style w:type="paragraph" w:styleId="Odsekzoznamu">
    <w:name w:val="List Paragraph"/>
    <w:basedOn w:val="Normlny"/>
    <w:uiPriority w:val="34"/>
    <w:qFormat/>
    <w:rsid w:val="008E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866</Words>
  <Characters>4939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fico</dc:creator>
  <cp:keywords/>
  <dc:description/>
  <cp:lastModifiedBy>My</cp:lastModifiedBy>
  <cp:revision>2</cp:revision>
  <dcterms:created xsi:type="dcterms:W3CDTF">2017-12-11T10:29:00Z</dcterms:created>
  <dcterms:modified xsi:type="dcterms:W3CDTF">2017-12-11T11:06:00Z</dcterms:modified>
</cp:coreProperties>
</file>